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6FC" w:rsidRPr="00A2203B" w:rsidRDefault="000336FC" w:rsidP="00CF7F90">
      <w:pPr>
        <w:spacing w:after="0" w:line="240" w:lineRule="auto"/>
        <w:jc w:val="both"/>
        <w:rPr>
          <w:rFonts w:ascii="Times New Roman" w:hAnsi="Times New Roman" w:cs="Times New Roman"/>
          <w:i/>
          <w:sz w:val="24"/>
          <w:szCs w:val="24"/>
        </w:rPr>
      </w:pPr>
    </w:p>
    <w:p w:rsidR="0066721E" w:rsidRPr="00A2203B" w:rsidRDefault="0066721E" w:rsidP="00CF7F90">
      <w:pPr>
        <w:spacing w:after="0" w:line="240" w:lineRule="auto"/>
        <w:jc w:val="center"/>
        <w:rPr>
          <w:rFonts w:ascii="Times New Roman" w:hAnsi="Times New Roman" w:cs="Times New Roman"/>
          <w:b/>
          <w:sz w:val="24"/>
          <w:szCs w:val="24"/>
        </w:rPr>
      </w:pPr>
      <w:r w:rsidRPr="00A2203B">
        <w:rPr>
          <w:rFonts w:ascii="Times New Roman" w:hAnsi="Times New Roman" w:cs="Times New Roman"/>
          <w:b/>
          <w:sz w:val="24"/>
          <w:szCs w:val="24"/>
        </w:rPr>
        <w:t>Vulnérabilité et droits européens</w:t>
      </w:r>
    </w:p>
    <w:p w:rsidR="00481D24" w:rsidRPr="00A2203B" w:rsidRDefault="00481D24" w:rsidP="00CF7F90">
      <w:pPr>
        <w:spacing w:after="0" w:line="240" w:lineRule="auto"/>
        <w:jc w:val="both"/>
        <w:rPr>
          <w:rFonts w:ascii="Times New Roman" w:hAnsi="Times New Roman" w:cs="Times New Roman"/>
          <w:sz w:val="24"/>
          <w:szCs w:val="24"/>
        </w:rPr>
      </w:pPr>
    </w:p>
    <w:p w:rsidR="0066721E" w:rsidRPr="00A2203B" w:rsidRDefault="0066721E" w:rsidP="00CF7F90">
      <w:pPr>
        <w:spacing w:after="0" w:line="240" w:lineRule="auto"/>
        <w:jc w:val="center"/>
        <w:rPr>
          <w:rFonts w:ascii="Times New Roman" w:hAnsi="Times New Roman" w:cs="Times New Roman"/>
          <w:sz w:val="24"/>
          <w:szCs w:val="24"/>
        </w:rPr>
      </w:pPr>
      <w:r w:rsidRPr="00A2203B">
        <w:rPr>
          <w:rFonts w:ascii="Times New Roman" w:hAnsi="Times New Roman" w:cs="Times New Roman"/>
          <w:sz w:val="24"/>
          <w:szCs w:val="24"/>
        </w:rPr>
        <w:t>Catherine Haguenau-Moizard</w:t>
      </w:r>
    </w:p>
    <w:p w:rsidR="00C10FA6" w:rsidRPr="00A2203B" w:rsidRDefault="00C10FA6" w:rsidP="00CF7F90">
      <w:pPr>
        <w:spacing w:after="0" w:line="240" w:lineRule="auto"/>
        <w:jc w:val="center"/>
        <w:rPr>
          <w:rFonts w:ascii="Times New Roman" w:hAnsi="Times New Roman" w:cs="Times New Roman"/>
          <w:sz w:val="24"/>
          <w:szCs w:val="24"/>
        </w:rPr>
      </w:pPr>
    </w:p>
    <w:p w:rsidR="0066721E" w:rsidRPr="00A2203B" w:rsidRDefault="0066721E" w:rsidP="00CF7F90">
      <w:pPr>
        <w:spacing w:after="0" w:line="240" w:lineRule="auto"/>
        <w:jc w:val="center"/>
        <w:rPr>
          <w:rFonts w:ascii="Times New Roman" w:hAnsi="Times New Roman" w:cs="Times New Roman"/>
          <w:i/>
          <w:sz w:val="24"/>
          <w:szCs w:val="24"/>
        </w:rPr>
      </w:pPr>
      <w:r w:rsidRPr="00A2203B">
        <w:rPr>
          <w:rFonts w:ascii="Times New Roman" w:hAnsi="Times New Roman" w:cs="Times New Roman"/>
          <w:i/>
          <w:sz w:val="24"/>
          <w:szCs w:val="24"/>
        </w:rPr>
        <w:t>P</w:t>
      </w:r>
      <w:r w:rsidR="00C10FA6" w:rsidRPr="00A2203B">
        <w:rPr>
          <w:rFonts w:ascii="Times New Roman" w:hAnsi="Times New Roman" w:cs="Times New Roman"/>
          <w:i/>
          <w:sz w:val="24"/>
          <w:szCs w:val="24"/>
        </w:rPr>
        <w:t xml:space="preserve">rofesseure </w:t>
      </w:r>
      <w:r w:rsidR="000336FC" w:rsidRPr="00A2203B">
        <w:rPr>
          <w:rFonts w:ascii="Times New Roman" w:hAnsi="Times New Roman" w:cs="Times New Roman"/>
          <w:i/>
          <w:sz w:val="24"/>
          <w:szCs w:val="24"/>
        </w:rPr>
        <w:t>de droit publ</w:t>
      </w:r>
      <w:r w:rsidR="00C10FA6" w:rsidRPr="00A2203B">
        <w:rPr>
          <w:rFonts w:ascii="Times New Roman" w:hAnsi="Times New Roman" w:cs="Times New Roman"/>
          <w:i/>
          <w:sz w:val="24"/>
          <w:szCs w:val="24"/>
        </w:rPr>
        <w:t xml:space="preserve">ic, </w:t>
      </w:r>
      <w:r w:rsidRPr="00A2203B">
        <w:rPr>
          <w:rFonts w:ascii="Times New Roman" w:hAnsi="Times New Roman" w:cs="Times New Roman"/>
          <w:i/>
          <w:sz w:val="24"/>
          <w:szCs w:val="24"/>
        </w:rPr>
        <w:t>Université de Strasbourg</w:t>
      </w:r>
    </w:p>
    <w:p w:rsidR="0066721E" w:rsidRPr="00A2203B" w:rsidRDefault="0066721E" w:rsidP="00CF7F90">
      <w:pPr>
        <w:spacing w:after="0" w:line="240" w:lineRule="auto"/>
        <w:jc w:val="both"/>
        <w:rPr>
          <w:rFonts w:ascii="Times New Roman" w:hAnsi="Times New Roman" w:cs="Times New Roman"/>
          <w:sz w:val="24"/>
          <w:szCs w:val="24"/>
        </w:rPr>
      </w:pPr>
    </w:p>
    <w:p w:rsidR="00C10FA6" w:rsidRPr="00A2203B" w:rsidRDefault="00C10FA6" w:rsidP="00CF7F90">
      <w:pPr>
        <w:spacing w:after="0" w:line="240" w:lineRule="auto"/>
        <w:jc w:val="both"/>
        <w:rPr>
          <w:rFonts w:ascii="Times New Roman" w:hAnsi="Times New Roman" w:cs="Times New Roman"/>
          <w:sz w:val="24"/>
          <w:szCs w:val="24"/>
        </w:rPr>
      </w:pPr>
    </w:p>
    <w:p w:rsidR="00C10FA6" w:rsidRPr="00A2203B" w:rsidRDefault="00C10FA6" w:rsidP="00CF7F90">
      <w:pPr>
        <w:spacing w:after="0" w:line="240" w:lineRule="auto"/>
        <w:jc w:val="both"/>
        <w:rPr>
          <w:rFonts w:ascii="Times New Roman" w:hAnsi="Times New Roman" w:cs="Times New Roman"/>
          <w:sz w:val="24"/>
          <w:szCs w:val="24"/>
        </w:rPr>
      </w:pPr>
    </w:p>
    <w:p w:rsidR="000336FC" w:rsidRPr="00A2203B" w:rsidRDefault="0066721E" w:rsidP="00CF7F90">
      <w:pPr>
        <w:spacing w:after="0" w:line="240" w:lineRule="auto"/>
        <w:jc w:val="both"/>
        <w:rPr>
          <w:rFonts w:ascii="Times New Roman" w:hAnsi="Times New Roman" w:cs="Times New Roman"/>
          <w:sz w:val="24"/>
          <w:szCs w:val="24"/>
        </w:rPr>
      </w:pPr>
      <w:r w:rsidRPr="00A2203B">
        <w:rPr>
          <w:rFonts w:ascii="Times New Roman" w:hAnsi="Times New Roman" w:cs="Times New Roman"/>
          <w:sz w:val="24"/>
          <w:szCs w:val="24"/>
        </w:rPr>
        <w:t xml:space="preserve"> </w:t>
      </w:r>
      <w:r w:rsidR="000336FC" w:rsidRPr="00A2203B">
        <w:rPr>
          <w:rFonts w:ascii="Times New Roman" w:hAnsi="Times New Roman" w:cs="Times New Roman"/>
          <w:sz w:val="24"/>
          <w:szCs w:val="24"/>
        </w:rPr>
        <w:t>La contribution cherchera à envisager comment l’Europe, ou plutôt les Europe (Union européenne et Conseil de l’Europe) produisent des effets ambivalents sur la situation juridique des personnes vulnérables.  Les normes élaborées par les institutions européennes peuvent aussi bien protéger les personnes vulnérables que renforcer leur vulnérabilité.</w:t>
      </w:r>
    </w:p>
    <w:p w:rsidR="00C10FA6" w:rsidRPr="00A2203B" w:rsidRDefault="00C10FA6" w:rsidP="00CF7F90">
      <w:pPr>
        <w:spacing w:after="0" w:line="240" w:lineRule="auto"/>
        <w:jc w:val="both"/>
        <w:rPr>
          <w:rFonts w:ascii="Times New Roman" w:hAnsi="Times New Roman" w:cs="Times New Roman"/>
          <w:sz w:val="24"/>
          <w:szCs w:val="24"/>
        </w:rPr>
      </w:pPr>
    </w:p>
    <w:p w:rsidR="000336FC" w:rsidRPr="00A2203B" w:rsidRDefault="000336FC" w:rsidP="00CF7F90">
      <w:pPr>
        <w:spacing w:after="0" w:line="240" w:lineRule="auto"/>
        <w:jc w:val="both"/>
        <w:rPr>
          <w:rFonts w:ascii="Times New Roman" w:hAnsi="Times New Roman" w:cs="Times New Roman"/>
          <w:sz w:val="24"/>
          <w:szCs w:val="24"/>
        </w:rPr>
      </w:pPr>
      <w:r w:rsidRPr="00A2203B">
        <w:rPr>
          <w:rFonts w:ascii="Times New Roman" w:hAnsi="Times New Roman" w:cs="Times New Roman"/>
          <w:sz w:val="24"/>
          <w:szCs w:val="24"/>
        </w:rPr>
        <w:t>La protection des personnes vulnérables repose principalement sur la garantie des droits fondamentaux, offerte tant par la Convention européenne des droits de l’homme que par la Charte des droits fondamentaux des droits de l’Union.</w:t>
      </w:r>
    </w:p>
    <w:p w:rsidR="00C10FA6" w:rsidRPr="00A2203B" w:rsidRDefault="00C10FA6" w:rsidP="00CF7F90">
      <w:pPr>
        <w:spacing w:after="0" w:line="240" w:lineRule="auto"/>
        <w:jc w:val="both"/>
        <w:rPr>
          <w:rFonts w:ascii="Times New Roman" w:hAnsi="Times New Roman" w:cs="Times New Roman"/>
          <w:sz w:val="24"/>
          <w:szCs w:val="24"/>
        </w:rPr>
      </w:pPr>
    </w:p>
    <w:p w:rsidR="00C10FA6" w:rsidRPr="00A2203B" w:rsidRDefault="00C10FA6" w:rsidP="00CF7F90">
      <w:pPr>
        <w:spacing w:after="0" w:line="240" w:lineRule="auto"/>
        <w:jc w:val="both"/>
        <w:rPr>
          <w:rFonts w:ascii="Times New Roman" w:hAnsi="Times New Roman" w:cs="Times New Roman"/>
          <w:sz w:val="24"/>
          <w:szCs w:val="24"/>
        </w:rPr>
      </w:pPr>
    </w:p>
    <w:p w:rsidR="000336FC" w:rsidRPr="00A2203B" w:rsidRDefault="000336FC" w:rsidP="00CF7F90">
      <w:pPr>
        <w:spacing w:after="0" w:line="240" w:lineRule="auto"/>
        <w:jc w:val="both"/>
        <w:rPr>
          <w:rFonts w:ascii="Times New Roman" w:hAnsi="Times New Roman" w:cs="Times New Roman"/>
          <w:sz w:val="24"/>
          <w:szCs w:val="24"/>
        </w:rPr>
      </w:pPr>
      <w:r w:rsidRPr="00A2203B">
        <w:rPr>
          <w:rFonts w:ascii="Times New Roman" w:hAnsi="Times New Roman" w:cs="Times New Roman"/>
          <w:sz w:val="24"/>
          <w:szCs w:val="24"/>
        </w:rPr>
        <w:t>Le renforcement de la vulnérabilité découle des restrictions à l’accès aux droits liés à la citoyenneté européenne  ainsi que de la politique d’asile de l’Union.</w:t>
      </w:r>
    </w:p>
    <w:p w:rsidR="00D04ABB" w:rsidRPr="00A2203B" w:rsidRDefault="00D04ABB" w:rsidP="00891DCB">
      <w:pPr>
        <w:spacing w:after="0" w:line="240" w:lineRule="auto"/>
        <w:rPr>
          <w:rFonts w:ascii="Times New Roman" w:hAnsi="Times New Roman" w:cs="Times New Roman"/>
          <w:sz w:val="24"/>
          <w:szCs w:val="24"/>
        </w:rPr>
      </w:pPr>
      <w:bookmarkStart w:id="0" w:name="_GoBack"/>
      <w:bookmarkEnd w:id="0"/>
    </w:p>
    <w:sectPr w:rsidR="00D04ABB" w:rsidRPr="00A2203B" w:rsidSect="004D233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B62F4F"/>
    <w:multiLevelType w:val="hybridMultilevel"/>
    <w:tmpl w:val="39E09BD2"/>
    <w:lvl w:ilvl="0" w:tplc="61A44EE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C13"/>
    <w:rsid w:val="000336FC"/>
    <w:rsid w:val="00072CBA"/>
    <w:rsid w:val="000D4EB7"/>
    <w:rsid w:val="00301D15"/>
    <w:rsid w:val="0034094A"/>
    <w:rsid w:val="00342ED7"/>
    <w:rsid w:val="003E112C"/>
    <w:rsid w:val="00412EA3"/>
    <w:rsid w:val="00481D24"/>
    <w:rsid w:val="004D233D"/>
    <w:rsid w:val="00550AF2"/>
    <w:rsid w:val="00577EC9"/>
    <w:rsid w:val="00582575"/>
    <w:rsid w:val="0066721E"/>
    <w:rsid w:val="007C629F"/>
    <w:rsid w:val="0080605F"/>
    <w:rsid w:val="00891DCB"/>
    <w:rsid w:val="00A2203B"/>
    <w:rsid w:val="00AE03B5"/>
    <w:rsid w:val="00C10FA6"/>
    <w:rsid w:val="00C12176"/>
    <w:rsid w:val="00C157B8"/>
    <w:rsid w:val="00CF7F90"/>
    <w:rsid w:val="00D04ABB"/>
    <w:rsid w:val="00DD6CCE"/>
    <w:rsid w:val="00E560C2"/>
    <w:rsid w:val="00F21C13"/>
    <w:rsid w:val="00F739CD"/>
    <w:rsid w:val="00FD5DA9"/>
    <w:rsid w:val="00FF51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C1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36FC"/>
    <w:pPr>
      <w:ind w:left="720"/>
      <w:contextualSpacing/>
    </w:pPr>
  </w:style>
  <w:style w:type="character" w:styleId="Lienhypertexte">
    <w:name w:val="Hyperlink"/>
    <w:basedOn w:val="Policepardfaut"/>
    <w:uiPriority w:val="99"/>
    <w:semiHidden/>
    <w:unhideWhenUsed/>
    <w:rsid w:val="000336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C1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36FC"/>
    <w:pPr>
      <w:ind w:left="720"/>
      <w:contextualSpacing/>
    </w:pPr>
  </w:style>
  <w:style w:type="character" w:styleId="Lienhypertexte">
    <w:name w:val="Hyperlink"/>
    <w:basedOn w:val="Policepardfaut"/>
    <w:uiPriority w:val="99"/>
    <w:semiHidden/>
    <w:unhideWhenUsed/>
    <w:rsid w:val="000336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CF78C-52DA-45F1-8193-D1F37B42D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133</Words>
  <Characters>737</Characters>
  <Application>Microsoft Office Word</Application>
  <DocSecurity>0</DocSecurity>
  <Lines>6</Lines>
  <Paragraphs>1</Paragraphs>
  <ScaleCrop>false</ScaleCrop>
  <Company>UFR DEG</Company>
  <LinksUpToDate>false</LinksUpToDate>
  <CharactersWithSpaces>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Salle</dc:creator>
  <cp:lastModifiedBy>Laurence Salle</cp:lastModifiedBy>
  <cp:revision>39</cp:revision>
  <dcterms:created xsi:type="dcterms:W3CDTF">2016-01-05T09:15:00Z</dcterms:created>
  <dcterms:modified xsi:type="dcterms:W3CDTF">2016-01-06T15:18:00Z</dcterms:modified>
</cp:coreProperties>
</file>